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F6D" w14:textId="77777777" w:rsidR="0042342D" w:rsidRDefault="0042342D" w:rsidP="0042342D">
      <w:pPr>
        <w:spacing w:after="7" w:line="259" w:lineRule="auto"/>
        <w:jc w:val="both"/>
        <w:rPr>
          <w:b/>
        </w:rPr>
      </w:pPr>
    </w:p>
    <w:p w14:paraId="3E8A01EB" w14:textId="1D57F0F8" w:rsidR="0042342D" w:rsidRDefault="0042342D" w:rsidP="0042342D">
      <w:pPr>
        <w:spacing w:after="7" w:line="259" w:lineRule="auto"/>
        <w:jc w:val="center"/>
      </w:pPr>
      <w:r>
        <w:rPr>
          <w:b/>
        </w:rPr>
        <w:t>RELATÓRIO DA ADMINISTRAÇÃO DE 2020</w:t>
      </w:r>
    </w:p>
    <w:p w14:paraId="4F786C7C" w14:textId="77777777" w:rsidR="0042342D" w:rsidRDefault="0042342D" w:rsidP="0042342D">
      <w:pPr>
        <w:spacing w:line="259" w:lineRule="auto"/>
        <w:jc w:val="both"/>
      </w:pPr>
      <w:r>
        <w:rPr>
          <w:b/>
        </w:rPr>
        <w:t xml:space="preserve"> </w:t>
      </w:r>
    </w:p>
    <w:p w14:paraId="59E6C243" w14:textId="77777777" w:rsidR="0042342D" w:rsidRDefault="0042342D" w:rsidP="0042342D">
      <w:pPr>
        <w:spacing w:line="259" w:lineRule="auto"/>
        <w:jc w:val="both"/>
      </w:pPr>
      <w:r>
        <w:rPr>
          <w:b/>
        </w:rPr>
        <w:t xml:space="preserve"> </w:t>
      </w:r>
    </w:p>
    <w:p w14:paraId="04B76FCA" w14:textId="77777777" w:rsidR="0042342D" w:rsidRDefault="0042342D" w:rsidP="0042342D">
      <w:pPr>
        <w:ind w:left="-5"/>
        <w:jc w:val="both"/>
      </w:pPr>
      <w:r>
        <w:t xml:space="preserve">Senhores Acionistas, </w:t>
      </w:r>
    </w:p>
    <w:p w14:paraId="0C485DFF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4F4AA94C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E4DA225" w14:textId="77777777" w:rsidR="0042342D" w:rsidRDefault="0042342D" w:rsidP="0042342D">
      <w:pPr>
        <w:ind w:left="-5"/>
        <w:jc w:val="both"/>
      </w:pPr>
      <w:r>
        <w:t xml:space="preserve">Submetemos à apreciação de V.Sas., as Demonstrações Financeiras da Agência de Fomento de Goiás S/A – </w:t>
      </w:r>
      <w:r>
        <w:rPr>
          <w:b/>
        </w:rPr>
        <w:t>GOIÁSFOMENTO</w:t>
      </w:r>
      <w:r>
        <w:t xml:space="preserve"> relativas aos exercícios findos em 31 de dezembro de </w:t>
      </w:r>
      <w:r>
        <w:rPr>
          <w:b/>
        </w:rPr>
        <w:t>2020</w:t>
      </w:r>
      <w:r>
        <w:t xml:space="preserve"> e de </w:t>
      </w:r>
      <w:r>
        <w:rPr>
          <w:b/>
        </w:rPr>
        <w:t>2019</w:t>
      </w:r>
      <w:r>
        <w:t xml:space="preserve">, as quais seguem as normas estabelecidas pela Lei das Sociedades por Ações, pelo Conselho Monetário Nacional, pelo Banco Central do Brasil e pela Comissão de Valores Mobiliários. </w:t>
      </w:r>
    </w:p>
    <w:p w14:paraId="035267F8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0B6B58C2" w14:textId="7DE2F00C" w:rsidR="0042342D" w:rsidRDefault="0042342D" w:rsidP="0042342D">
      <w:pPr>
        <w:ind w:left="-5"/>
        <w:jc w:val="both"/>
      </w:pPr>
      <w:r>
        <w:t xml:space="preserve">O ano de 2020, foi atípico na economia mundial face as medidas restritivas por causa da pandemia causada pela COVID-19, afetando a atuação dos agentes econômicos. As fortes intervenções na área econômica do governo brasileiro, com a injeção de recursos em programas de transferência de renda </w:t>
      </w:r>
      <w:r w:rsidR="00541D65">
        <w:t>recuperando</w:t>
      </w:r>
      <w:r>
        <w:t xml:space="preserve"> em parte a capacidade de consumo das famílias de baixa renda, bem como os programas de </w:t>
      </w:r>
      <w:r w:rsidR="00541D65">
        <w:t xml:space="preserve">manutenção do emprego e </w:t>
      </w:r>
      <w:r>
        <w:t>facilitação no acesso a crédito, aliviaram a</w:t>
      </w:r>
      <w:r w:rsidR="00541D65">
        <w:t>s</w:t>
      </w:r>
      <w:r>
        <w:t xml:space="preserve"> press</w:t>
      </w:r>
      <w:r w:rsidR="00541D65">
        <w:t>ões</w:t>
      </w:r>
      <w:r>
        <w:t xml:space="preserve"> sobre parte do setor produtivo, evitando uma depressão econômica</w:t>
      </w:r>
      <w:r w:rsidR="00541D65">
        <w:t xml:space="preserve"> e demissões em massa</w:t>
      </w:r>
      <w:r>
        <w:t>.</w:t>
      </w:r>
    </w:p>
    <w:p w14:paraId="3038BEC8" w14:textId="77777777" w:rsidR="0042342D" w:rsidRDefault="0042342D" w:rsidP="0042342D">
      <w:pPr>
        <w:ind w:left="-5"/>
        <w:jc w:val="both"/>
      </w:pPr>
    </w:p>
    <w:p w14:paraId="0BFBC0E3" w14:textId="77777777" w:rsidR="0042342D" w:rsidRDefault="0042342D" w:rsidP="0042342D">
      <w:pPr>
        <w:ind w:left="-5"/>
        <w:jc w:val="both"/>
      </w:pPr>
      <w:r>
        <w:t xml:space="preserve">Alinhada às políticas públicas de manutenção do emprego e da renda, GoiásFomento aderiu às ações de combate aos efeitos nocivos à economia, com adoção de diversas medidas, dentre elas, a ampliação no volume de financiamentos concedidos, a renegociação e prorrogação de parcelas de mutuários, contribuindo com o fluxo de caixa financeiro nas microempresas e empresas de pequeno porte. </w:t>
      </w:r>
    </w:p>
    <w:p w14:paraId="54237E92" w14:textId="77777777" w:rsidR="0042342D" w:rsidRDefault="0042342D" w:rsidP="0042342D">
      <w:pPr>
        <w:ind w:left="-5"/>
        <w:jc w:val="both"/>
      </w:pPr>
    </w:p>
    <w:p w14:paraId="70BB8EC6" w14:textId="77777777" w:rsidR="0042342D" w:rsidRDefault="0042342D" w:rsidP="0042342D">
      <w:pPr>
        <w:ind w:left="-5"/>
        <w:jc w:val="both"/>
      </w:pPr>
    </w:p>
    <w:p w14:paraId="66614175" w14:textId="77777777" w:rsidR="0042342D" w:rsidRDefault="0042342D" w:rsidP="0042342D">
      <w:pPr>
        <w:spacing w:after="4" w:line="259" w:lineRule="auto"/>
        <w:ind w:left="-5"/>
        <w:jc w:val="both"/>
      </w:pPr>
      <w:r>
        <w:rPr>
          <w:b/>
        </w:rPr>
        <w:t>1. RESULTADOS DO EXERCÍCIO</w:t>
      </w:r>
    </w:p>
    <w:p w14:paraId="3C190556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26EE9A4C" w14:textId="77777777" w:rsidR="0042342D" w:rsidRDefault="0042342D" w:rsidP="0042342D">
      <w:pPr>
        <w:ind w:left="-5"/>
        <w:jc w:val="both"/>
      </w:pPr>
      <w:r>
        <w:t xml:space="preserve">As ações que visaram a redução do índice de inadimplemento, como renegociações e prorrogações de parcelas, refletiram no aumento do volume de créditos recuperados, redução do índice de inadimplência e variação para baixo do volume da carteira em </w:t>
      </w:r>
      <w:r w:rsidRPr="00A05E8B">
        <w:rPr>
          <w:i/>
          <w:iCs/>
        </w:rPr>
        <w:t>default</w:t>
      </w:r>
      <w:r>
        <w:t xml:space="preserve">, mesmo com o crescimento da carteira de crédito. Com isso, o lucro líquido alcançado em </w:t>
      </w:r>
      <w:r w:rsidRPr="003E4B0D">
        <w:rPr>
          <w:b/>
          <w:bCs/>
        </w:rPr>
        <w:t>20</w:t>
      </w:r>
      <w:r>
        <w:rPr>
          <w:b/>
          <w:bCs/>
        </w:rPr>
        <w:t>20,</w:t>
      </w:r>
      <w:r>
        <w:t xml:space="preserve"> embora menor que o obtido em </w:t>
      </w:r>
      <w:r w:rsidRPr="003E4B0D">
        <w:rPr>
          <w:b/>
          <w:bCs/>
        </w:rPr>
        <w:t>201</w:t>
      </w:r>
      <w:r>
        <w:rPr>
          <w:b/>
          <w:bCs/>
        </w:rPr>
        <w:t>9</w:t>
      </w:r>
      <w:r>
        <w:t xml:space="preserve">, foi de </w:t>
      </w:r>
      <w:r>
        <w:rPr>
          <w:b/>
          <w:bCs/>
        </w:rPr>
        <w:t xml:space="preserve">4,9%, </w:t>
      </w:r>
      <w:r>
        <w:t>demonstrado no balanço patrimonial.</w:t>
      </w:r>
    </w:p>
    <w:p w14:paraId="2AA21839" w14:textId="77777777" w:rsidR="0042342D" w:rsidRDefault="0042342D" w:rsidP="0042342D">
      <w:pPr>
        <w:spacing w:line="259" w:lineRule="auto"/>
        <w:jc w:val="both"/>
      </w:pPr>
    </w:p>
    <w:p w14:paraId="2788088B" w14:textId="77777777" w:rsidR="0042342D" w:rsidRDefault="0042342D" w:rsidP="0042342D">
      <w:pPr>
        <w:spacing w:line="259" w:lineRule="auto"/>
        <w:jc w:val="both"/>
      </w:pPr>
      <w:r>
        <w:t xml:space="preserve">O </w:t>
      </w:r>
      <w:r>
        <w:rPr>
          <w:b/>
        </w:rPr>
        <w:t>saldo da provisão para devedores duvidosos</w:t>
      </w:r>
      <w:r>
        <w:t xml:space="preserve"> variou de </w:t>
      </w:r>
      <w:r>
        <w:rPr>
          <w:b/>
        </w:rPr>
        <w:t>R$ 6,1</w:t>
      </w:r>
      <w:r>
        <w:t xml:space="preserve"> em 31/12/2019 para </w:t>
      </w:r>
      <w:r w:rsidRPr="00023BFC">
        <w:rPr>
          <w:b/>
          <w:bCs/>
        </w:rPr>
        <w:t xml:space="preserve">R$ </w:t>
      </w:r>
      <w:r>
        <w:rPr>
          <w:b/>
          <w:bCs/>
        </w:rPr>
        <w:t>7,4</w:t>
      </w:r>
      <w:r w:rsidRPr="00023BFC">
        <w:rPr>
          <w:b/>
          <w:bCs/>
        </w:rPr>
        <w:t xml:space="preserve"> milhões</w:t>
      </w:r>
      <w:r>
        <w:t xml:space="preserve"> em 31/12/2020. Proporcionalmente, a carteira de crédito cresceu mais, passando de </w:t>
      </w:r>
      <w:r w:rsidRPr="00023BFC">
        <w:rPr>
          <w:b/>
          <w:bCs/>
        </w:rPr>
        <w:t xml:space="preserve">R$ </w:t>
      </w:r>
      <w:r>
        <w:rPr>
          <w:b/>
          <w:bCs/>
        </w:rPr>
        <w:t>99,0</w:t>
      </w:r>
      <w:r>
        <w:t xml:space="preserve"> para </w:t>
      </w:r>
      <w:r w:rsidRPr="00023BFC">
        <w:rPr>
          <w:b/>
          <w:bCs/>
        </w:rPr>
        <w:t xml:space="preserve">R$ </w:t>
      </w:r>
      <w:r>
        <w:rPr>
          <w:b/>
          <w:bCs/>
        </w:rPr>
        <w:t>148</w:t>
      </w:r>
      <w:r w:rsidRPr="00023BFC">
        <w:rPr>
          <w:b/>
          <w:bCs/>
        </w:rPr>
        <w:t>,</w:t>
      </w:r>
      <w:r>
        <w:rPr>
          <w:b/>
          <w:bCs/>
        </w:rPr>
        <w:t>1</w:t>
      </w:r>
      <w:r>
        <w:t xml:space="preserve"> no final do último exercício.</w:t>
      </w:r>
    </w:p>
    <w:p w14:paraId="28BC7B10" w14:textId="77777777" w:rsidR="0042342D" w:rsidRDefault="0042342D" w:rsidP="0042342D">
      <w:pPr>
        <w:spacing w:line="259" w:lineRule="auto"/>
        <w:jc w:val="both"/>
      </w:pPr>
    </w:p>
    <w:p w14:paraId="61C9E1FD" w14:textId="486642D2" w:rsidR="0042342D" w:rsidRDefault="0042342D" w:rsidP="0042342D">
      <w:pPr>
        <w:ind w:left="-5"/>
        <w:jc w:val="both"/>
      </w:pPr>
      <w:r>
        <w:t xml:space="preserve">Os </w:t>
      </w:r>
      <w:r>
        <w:rPr>
          <w:b/>
        </w:rPr>
        <w:t>ativos totais</w:t>
      </w:r>
      <w:r>
        <w:t xml:space="preserve"> tiveram varação de </w:t>
      </w:r>
      <w:r>
        <w:rPr>
          <w:b/>
        </w:rPr>
        <w:t>26</w:t>
      </w:r>
      <w:r w:rsidRPr="00EA069B">
        <w:rPr>
          <w:b/>
        </w:rPr>
        <w:t>%</w:t>
      </w:r>
      <w:r>
        <w:t xml:space="preserve"> quando comparado ao exercício anterior, saindo de </w:t>
      </w:r>
      <w:r w:rsidRPr="00BC7AD2">
        <w:rPr>
          <w:b/>
          <w:bCs/>
        </w:rPr>
        <w:t>R$ 243,6</w:t>
      </w:r>
      <w:r>
        <w:t xml:space="preserve"> </w:t>
      </w:r>
      <w:r w:rsidRPr="00BC7AD2">
        <w:rPr>
          <w:b/>
          <w:bCs/>
        </w:rPr>
        <w:t>milhões</w:t>
      </w:r>
      <w:r>
        <w:t xml:space="preserve"> para </w:t>
      </w:r>
      <w:r w:rsidRPr="00BC7AD2">
        <w:rPr>
          <w:b/>
          <w:bCs/>
        </w:rPr>
        <w:t xml:space="preserve">R$ </w:t>
      </w:r>
      <w:r>
        <w:rPr>
          <w:b/>
          <w:bCs/>
        </w:rPr>
        <w:t>307,9</w:t>
      </w:r>
      <w:r>
        <w:t xml:space="preserve"> milhões, ficando </w:t>
      </w:r>
      <w:r w:rsidRPr="00202633">
        <w:rPr>
          <w:b/>
          <w:bCs/>
        </w:rPr>
        <w:t xml:space="preserve">R$ </w:t>
      </w:r>
      <w:r>
        <w:rPr>
          <w:b/>
          <w:bCs/>
        </w:rPr>
        <w:t>64,3</w:t>
      </w:r>
      <w:r w:rsidRPr="00202633">
        <w:rPr>
          <w:b/>
          <w:bCs/>
        </w:rPr>
        <w:t xml:space="preserve"> milhões</w:t>
      </w:r>
      <w:r>
        <w:t xml:space="preserve"> maior, principalmente pelas captações de recursos para repasses da Caixa Econômica</w:t>
      </w:r>
      <w:r w:rsidR="006D1CDA">
        <w:t xml:space="preserve"> Federal</w:t>
      </w:r>
      <w:r>
        <w:t xml:space="preserve"> </w:t>
      </w:r>
      <w:r>
        <w:lastRenderedPageBreak/>
        <w:t>no âmbito do PMNPO e do FUNGETUR. Da mesma forma,</w:t>
      </w:r>
      <w:r w:rsidR="00514AF4">
        <w:t xml:space="preserve"> o</w:t>
      </w:r>
      <w:r>
        <w:t xml:space="preserve"> </w:t>
      </w:r>
      <w:r>
        <w:rPr>
          <w:b/>
        </w:rPr>
        <w:t>patrimônio líquido</w:t>
      </w:r>
      <w:r>
        <w:t xml:space="preserve"> passou de </w:t>
      </w:r>
      <w:r w:rsidRPr="00AD39F4">
        <w:rPr>
          <w:b/>
          <w:bCs/>
        </w:rPr>
        <w:t xml:space="preserve">R$ </w:t>
      </w:r>
      <w:r>
        <w:rPr>
          <w:b/>
          <w:bCs/>
        </w:rPr>
        <w:t>189,9</w:t>
      </w:r>
      <w:r>
        <w:t xml:space="preserve"> para </w:t>
      </w:r>
      <w:r w:rsidRPr="00AD39F4">
        <w:rPr>
          <w:b/>
          <w:bCs/>
        </w:rPr>
        <w:t>R$ 19</w:t>
      </w:r>
      <w:r>
        <w:rPr>
          <w:b/>
          <w:bCs/>
        </w:rPr>
        <w:t>7</w:t>
      </w:r>
      <w:r w:rsidRPr="00AD39F4">
        <w:rPr>
          <w:b/>
          <w:bCs/>
        </w:rPr>
        <w:t>,</w:t>
      </w:r>
      <w:r>
        <w:rPr>
          <w:b/>
          <w:bCs/>
        </w:rPr>
        <w:t>7,</w:t>
      </w:r>
      <w:r>
        <w:t xml:space="preserve"> </w:t>
      </w:r>
      <w:r w:rsidR="006C5DB2">
        <w:t xml:space="preserve">com </w:t>
      </w:r>
      <w:r>
        <w:t xml:space="preserve">aumento de </w:t>
      </w:r>
      <w:r>
        <w:rPr>
          <w:b/>
        </w:rPr>
        <w:t>4,1%</w:t>
      </w:r>
      <w:r w:rsidR="006C5DB2">
        <w:rPr>
          <w:b/>
        </w:rPr>
        <w:t>.</w:t>
      </w:r>
    </w:p>
    <w:p w14:paraId="18EF8433" w14:textId="77777777" w:rsidR="0042342D" w:rsidRDefault="0042342D" w:rsidP="0042342D">
      <w:pPr>
        <w:spacing w:line="259" w:lineRule="auto"/>
        <w:jc w:val="both"/>
      </w:pPr>
    </w:p>
    <w:p w14:paraId="37AF5179" w14:textId="7B5D52EF" w:rsidR="0042342D" w:rsidRDefault="0042342D" w:rsidP="0042342D">
      <w:pPr>
        <w:ind w:left="-5"/>
        <w:jc w:val="both"/>
      </w:pPr>
      <w:r>
        <w:t xml:space="preserve">Os desembolsos da </w:t>
      </w:r>
      <w:r>
        <w:rPr>
          <w:b/>
        </w:rPr>
        <w:t>GOIÁSFOMENTO</w:t>
      </w:r>
      <w:r>
        <w:t xml:space="preserve"> </w:t>
      </w:r>
      <w:r w:rsidRPr="00DB1286">
        <w:t xml:space="preserve">somaram </w:t>
      </w:r>
      <w:r w:rsidRPr="00DB1286">
        <w:rPr>
          <w:b/>
        </w:rPr>
        <w:t xml:space="preserve">R$ </w:t>
      </w:r>
      <w:r>
        <w:rPr>
          <w:b/>
        </w:rPr>
        <w:t>8</w:t>
      </w:r>
      <w:r w:rsidR="001752BD">
        <w:rPr>
          <w:b/>
        </w:rPr>
        <w:t>5</w:t>
      </w:r>
      <w:r>
        <w:rPr>
          <w:b/>
        </w:rPr>
        <w:t>,</w:t>
      </w:r>
      <w:r w:rsidR="001752BD">
        <w:rPr>
          <w:b/>
        </w:rPr>
        <w:t>7</w:t>
      </w:r>
      <w:r w:rsidRPr="00DB1286">
        <w:rPr>
          <w:b/>
        </w:rPr>
        <w:t xml:space="preserve"> milhões</w:t>
      </w:r>
      <w:r w:rsidRPr="00DB1286">
        <w:t xml:space="preserve"> em </w:t>
      </w:r>
      <w:r>
        <w:rPr>
          <w:b/>
        </w:rPr>
        <w:t>1.7</w:t>
      </w:r>
      <w:r w:rsidR="001752BD">
        <w:rPr>
          <w:b/>
        </w:rPr>
        <w:t>45</w:t>
      </w:r>
      <w:r w:rsidRPr="00DB1286">
        <w:rPr>
          <w:b/>
        </w:rPr>
        <w:t xml:space="preserve"> </w:t>
      </w:r>
      <w:r w:rsidRPr="00DB1286">
        <w:t xml:space="preserve">operações de crédito às </w:t>
      </w:r>
      <w:r w:rsidRPr="00DB1286">
        <w:rPr>
          <w:i/>
        </w:rPr>
        <w:t>microempresas, empresas de pequeno e médio porte</w:t>
      </w:r>
      <w:r w:rsidRPr="00DB1286">
        <w:t xml:space="preserve">, </w:t>
      </w:r>
      <w:r w:rsidRPr="00DB1286">
        <w:rPr>
          <w:i/>
        </w:rPr>
        <w:t>microempreendedores individuais</w:t>
      </w:r>
      <w:r w:rsidRPr="00DB1286">
        <w:t xml:space="preserve"> e </w:t>
      </w:r>
      <w:r w:rsidRPr="00DB1286">
        <w:rPr>
          <w:i/>
        </w:rPr>
        <w:t xml:space="preserve">autônomos </w:t>
      </w:r>
      <w:r w:rsidRPr="00DB1286">
        <w:t>nesse semestre. Não houve</w:t>
      </w:r>
      <w:r>
        <w:t xml:space="preserve"> desembolsos nas operações de repasses do </w:t>
      </w:r>
      <w:r w:rsidRPr="00BA467E">
        <w:rPr>
          <w:b/>
        </w:rPr>
        <w:t>BNDES</w:t>
      </w:r>
      <w:r>
        <w:t xml:space="preserve"> e </w:t>
      </w:r>
      <w:r w:rsidRPr="00BA467E">
        <w:rPr>
          <w:b/>
        </w:rPr>
        <w:t>FINEP</w:t>
      </w:r>
      <w:r>
        <w:t xml:space="preserve">. Em relação ao mesmo período do ano anterior o volume de desembolsos foi </w:t>
      </w:r>
      <w:r>
        <w:rPr>
          <w:b/>
          <w:bCs/>
        </w:rPr>
        <w:t>1</w:t>
      </w:r>
      <w:r w:rsidR="00206BF5">
        <w:rPr>
          <w:b/>
          <w:bCs/>
        </w:rPr>
        <w:t>75</w:t>
      </w:r>
      <w:r w:rsidRPr="00E37D00">
        <w:rPr>
          <w:b/>
        </w:rPr>
        <w:t>%</w:t>
      </w:r>
      <w:r>
        <w:rPr>
          <w:b/>
        </w:rPr>
        <w:t xml:space="preserve"> </w:t>
      </w:r>
      <w:r>
        <w:rPr>
          <w:bCs/>
        </w:rPr>
        <w:t>maior, e</w:t>
      </w:r>
      <w:r w:rsidR="00F534FD">
        <w:rPr>
          <w:bCs/>
        </w:rPr>
        <w:t>nquanto e</w:t>
      </w:r>
      <w:r>
        <w:rPr>
          <w:bCs/>
        </w:rPr>
        <w:t xml:space="preserve">m relação ao número de contratos, foi </w:t>
      </w:r>
      <w:r w:rsidR="00206BF5">
        <w:rPr>
          <w:b/>
        </w:rPr>
        <w:t>89</w:t>
      </w:r>
      <w:r w:rsidRPr="006600F2">
        <w:rPr>
          <w:b/>
        </w:rPr>
        <w:t>%</w:t>
      </w:r>
      <w:r>
        <w:rPr>
          <w:bCs/>
        </w:rPr>
        <w:t>.</w:t>
      </w:r>
    </w:p>
    <w:p w14:paraId="5BD56A98" w14:textId="77777777" w:rsidR="0042342D" w:rsidRDefault="0042342D" w:rsidP="0042342D">
      <w:pPr>
        <w:ind w:left="-5"/>
        <w:jc w:val="both"/>
      </w:pPr>
    </w:p>
    <w:p w14:paraId="256728AE" w14:textId="77777777" w:rsidR="0042342D" w:rsidRPr="00AB1FDE" w:rsidRDefault="0042342D" w:rsidP="0042342D">
      <w:pPr>
        <w:ind w:left="-5"/>
        <w:jc w:val="both"/>
      </w:pPr>
      <w:r>
        <w:t xml:space="preserve">O saldo da carteira com risco próprio (Recursos Próprios/CAIXA/FCO/BNDES/FINEP /FUNGETUR), ao final do exercício de </w:t>
      </w:r>
      <w:r>
        <w:rPr>
          <w:b/>
        </w:rPr>
        <w:t>2020</w:t>
      </w:r>
      <w:r>
        <w:t xml:space="preserve"> ficou em </w:t>
      </w:r>
      <w:r>
        <w:rPr>
          <w:b/>
        </w:rPr>
        <w:t>R$ 148 milhões</w:t>
      </w:r>
      <w:r>
        <w:t>,</w:t>
      </w:r>
      <w:r>
        <w:rPr>
          <w:b/>
        </w:rPr>
        <w:t xml:space="preserve"> </w:t>
      </w:r>
      <w:r>
        <w:t xml:space="preserve">sendo </w:t>
      </w:r>
      <w:r>
        <w:rPr>
          <w:b/>
        </w:rPr>
        <w:t>R$ 49 milhões</w:t>
      </w:r>
      <w:r>
        <w:t xml:space="preserve"> maior em relação a 31/12/2019 e, por outro lado, o número de contratos ativos aumentou para </w:t>
      </w:r>
      <w:r>
        <w:rPr>
          <w:b/>
          <w:bCs/>
        </w:rPr>
        <w:t>6.340</w:t>
      </w:r>
      <w:r w:rsidRPr="00520545">
        <w:rPr>
          <w:b/>
          <w:bCs/>
        </w:rPr>
        <w:t xml:space="preserve"> contratos </w:t>
      </w:r>
      <w:r>
        <w:t xml:space="preserve">contra </w:t>
      </w:r>
      <w:r w:rsidRPr="00520545">
        <w:rPr>
          <w:b/>
          <w:bCs/>
        </w:rPr>
        <w:t>2.</w:t>
      </w:r>
      <w:r>
        <w:rPr>
          <w:b/>
          <w:bCs/>
        </w:rPr>
        <w:t>522</w:t>
      </w:r>
      <w:r>
        <w:t xml:space="preserve"> em 2019. Do número de contratos ativos em 2020, </w:t>
      </w:r>
      <w:r w:rsidRPr="00552BDC">
        <w:rPr>
          <w:b/>
          <w:bCs/>
        </w:rPr>
        <w:t>2.837</w:t>
      </w:r>
      <w:r>
        <w:t xml:space="preserve"> referem-se a contratos originados com prorrogação de parcelas, cuja medida foi adotada em função da crise provocada pela COVID-19, autorizada por medida do BACEN. Entretanto, excluindo-se esse número do total, os demais contratos somaram </w:t>
      </w:r>
      <w:r w:rsidRPr="006242A4">
        <w:rPr>
          <w:b/>
          <w:bCs/>
        </w:rPr>
        <w:t>3.503</w:t>
      </w:r>
      <w:r>
        <w:t xml:space="preserve">, ficando </w:t>
      </w:r>
      <w:r>
        <w:rPr>
          <w:b/>
          <w:bCs/>
        </w:rPr>
        <w:t xml:space="preserve">39% </w:t>
      </w:r>
      <w:r>
        <w:t xml:space="preserve">maior que do ano anterior. Por outro lado, o saldo nos contratos com parcelas prorrogadas somou apenas </w:t>
      </w:r>
      <w:r w:rsidRPr="00683A81">
        <w:rPr>
          <w:b/>
          <w:bCs/>
        </w:rPr>
        <w:t>R$ 4,5 milhões</w:t>
      </w:r>
      <w:r>
        <w:t>.</w:t>
      </w:r>
    </w:p>
    <w:p w14:paraId="01905E6D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1A832C74" w14:textId="19D16EF1" w:rsidR="0042342D" w:rsidRPr="0012692A" w:rsidRDefault="0042342D" w:rsidP="0042342D">
      <w:pPr>
        <w:ind w:left="-5"/>
        <w:jc w:val="both"/>
      </w:pPr>
      <w:r>
        <w:t xml:space="preserve">O saldo de recursos em </w:t>
      </w:r>
      <w:r>
        <w:rPr>
          <w:b/>
        </w:rPr>
        <w:t>tesouraria</w:t>
      </w:r>
      <w:r>
        <w:t xml:space="preserve"> no final de 2019, saiu de </w:t>
      </w:r>
      <w:r>
        <w:rPr>
          <w:b/>
        </w:rPr>
        <w:t>R$ 103,7 milhões</w:t>
      </w:r>
      <w:r>
        <w:t xml:space="preserve"> para </w:t>
      </w:r>
      <w:r>
        <w:rPr>
          <w:b/>
        </w:rPr>
        <w:t>R$ 117,4 milhões,</w:t>
      </w:r>
      <w:r>
        <w:t xml:space="preserve"> </w:t>
      </w:r>
      <w:r w:rsidR="00EE1783">
        <w:t>ou seja</w:t>
      </w:r>
      <w:r>
        <w:t>, reforçou a disponibilidade financeira advinda de resultados alcançados nos últimos períodos, bem como, da captação de recursos para repasses.</w:t>
      </w:r>
    </w:p>
    <w:p w14:paraId="354D221A" w14:textId="77777777" w:rsidR="0042342D" w:rsidRDefault="0042342D" w:rsidP="0042342D">
      <w:pPr>
        <w:spacing w:line="259" w:lineRule="auto"/>
        <w:jc w:val="both"/>
      </w:pPr>
    </w:p>
    <w:p w14:paraId="6B221B1E" w14:textId="77777777" w:rsidR="0042342D" w:rsidRDefault="0042342D" w:rsidP="0042342D">
      <w:pPr>
        <w:spacing w:line="259" w:lineRule="auto"/>
        <w:jc w:val="both"/>
      </w:pPr>
    </w:p>
    <w:p w14:paraId="16774407" w14:textId="77777777" w:rsidR="0042342D" w:rsidRPr="00BE61FB" w:rsidRDefault="0042342D" w:rsidP="0042342D">
      <w:pPr>
        <w:spacing w:after="4" w:line="259" w:lineRule="auto"/>
        <w:ind w:left="-5"/>
        <w:jc w:val="both"/>
      </w:pPr>
      <w:r w:rsidRPr="00BE61FB">
        <w:rPr>
          <w:b/>
        </w:rPr>
        <w:t xml:space="preserve">2. </w:t>
      </w:r>
      <w:r>
        <w:rPr>
          <w:b/>
        </w:rPr>
        <w:t>AÇÕES ADOTADAS EM FACE DA PANDEMIA</w:t>
      </w:r>
    </w:p>
    <w:p w14:paraId="78796E9F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6595BECC" w14:textId="77777777" w:rsidR="0042342D" w:rsidRDefault="0042342D" w:rsidP="0042342D">
      <w:pPr>
        <w:spacing w:line="259" w:lineRule="auto"/>
        <w:jc w:val="both"/>
      </w:pPr>
      <w:r>
        <w:t xml:space="preserve">1. </w:t>
      </w:r>
      <w:r w:rsidRPr="00B94799">
        <w:t>A GoiásFomento implementou medidas para facilitar o acesso ao crédito pelas micro e pequenas empresas</w:t>
      </w:r>
      <w:r>
        <w:t xml:space="preserve">, bem como disponibilizou </w:t>
      </w:r>
      <w:r w:rsidRPr="00B94799">
        <w:t xml:space="preserve">linhas de crédito emergências para dar suporte financeiro aos negócios, </w:t>
      </w:r>
      <w:r>
        <w:t>contribuindo para a manutenção do emprego e da renda</w:t>
      </w:r>
      <w:r w:rsidRPr="00B94799">
        <w:t>.</w:t>
      </w:r>
    </w:p>
    <w:p w14:paraId="3CC58DD2" w14:textId="77777777" w:rsidR="0042342D" w:rsidRDefault="0042342D" w:rsidP="0042342D">
      <w:pPr>
        <w:spacing w:line="259" w:lineRule="auto"/>
        <w:jc w:val="both"/>
      </w:pPr>
    </w:p>
    <w:p w14:paraId="01DE98D8" w14:textId="56A55780" w:rsidR="0042342D" w:rsidRDefault="0042342D" w:rsidP="0042342D">
      <w:pPr>
        <w:spacing w:line="259" w:lineRule="auto"/>
        <w:jc w:val="both"/>
      </w:pPr>
      <w:r>
        <w:t xml:space="preserve">2. </w:t>
      </w:r>
      <w:r w:rsidRPr="00B94799">
        <w:t xml:space="preserve">Desburocratizou o processo de contratação para </w:t>
      </w:r>
      <w:r>
        <w:t>empresas que não possui garantias suficientes,</w:t>
      </w:r>
      <w:r w:rsidRPr="00B94799">
        <w:t xml:space="preserve"> através de parceria</w:t>
      </w:r>
      <w:r>
        <w:t>s</w:t>
      </w:r>
      <w:r w:rsidRPr="00B94799">
        <w:t xml:space="preserve"> firmada</w:t>
      </w:r>
      <w:r>
        <w:t>s</w:t>
      </w:r>
      <w:r w:rsidRPr="00B94799">
        <w:t xml:space="preserve"> com o Serviço de Apoio às Micro e Pequenas Empresas</w:t>
      </w:r>
      <w:r>
        <w:t xml:space="preserve"> - SEBRAE</w:t>
      </w:r>
      <w:r w:rsidRPr="00B94799">
        <w:t xml:space="preserve">, para operar com o Fundo de Aval para Micro e Pequenas Empresas </w:t>
      </w:r>
      <w:r>
        <w:t xml:space="preserve">– </w:t>
      </w:r>
      <w:r w:rsidRPr="00B94799">
        <w:t>FAMPE</w:t>
      </w:r>
      <w:r>
        <w:t>, bem como, com a Associação de Garantia de Crédito – ACG</w:t>
      </w:r>
      <w:r w:rsidR="00AE37C8">
        <w:t xml:space="preserve"> e reativação do acesso ao Fundo Garantidor de Investimentos – FGI</w:t>
      </w:r>
      <w:r>
        <w:t>.</w:t>
      </w:r>
    </w:p>
    <w:p w14:paraId="539A4AFE" w14:textId="77777777" w:rsidR="0042342D" w:rsidRDefault="0042342D" w:rsidP="0042342D">
      <w:pPr>
        <w:spacing w:line="259" w:lineRule="auto"/>
        <w:jc w:val="both"/>
      </w:pPr>
    </w:p>
    <w:p w14:paraId="613BD8C7" w14:textId="4A08E780" w:rsidR="0042342D" w:rsidRDefault="0042342D" w:rsidP="0042342D">
      <w:pPr>
        <w:spacing w:line="259" w:lineRule="auto"/>
        <w:jc w:val="both"/>
      </w:pPr>
      <w:r>
        <w:t xml:space="preserve">3. </w:t>
      </w:r>
      <w:r w:rsidRPr="00B94799">
        <w:t xml:space="preserve">Promoveu a captação de mais de </w:t>
      </w:r>
      <w:r w:rsidRPr="00B94799">
        <w:rPr>
          <w:b/>
          <w:bCs/>
        </w:rPr>
        <w:t xml:space="preserve">R$ </w:t>
      </w:r>
      <w:r w:rsidR="004556B3">
        <w:rPr>
          <w:b/>
          <w:bCs/>
        </w:rPr>
        <w:t>9</w:t>
      </w:r>
      <w:r w:rsidR="0003608F">
        <w:rPr>
          <w:b/>
          <w:bCs/>
        </w:rPr>
        <w:t>1</w:t>
      </w:r>
      <w:r w:rsidR="004556B3">
        <w:rPr>
          <w:b/>
          <w:bCs/>
        </w:rPr>
        <w:t>,9</w:t>
      </w:r>
      <w:r w:rsidRPr="00B94799">
        <w:rPr>
          <w:b/>
          <w:bCs/>
        </w:rPr>
        <w:t xml:space="preserve"> milhões</w:t>
      </w:r>
      <w:r w:rsidRPr="00B94799">
        <w:t xml:space="preserve"> em recursos para a oferta de crédito em Goiás. Sendo </w:t>
      </w:r>
      <w:r w:rsidRPr="00B94799">
        <w:rPr>
          <w:b/>
          <w:bCs/>
        </w:rPr>
        <w:t>R$ 11,9 milhões</w:t>
      </w:r>
      <w:r w:rsidRPr="00B94799">
        <w:t xml:space="preserve"> da </w:t>
      </w:r>
      <w:r>
        <w:t>FINEP</w:t>
      </w:r>
      <w:r w:rsidRPr="00B94799">
        <w:t xml:space="preserve">, </w:t>
      </w:r>
      <w:r w:rsidRPr="00B94799">
        <w:rPr>
          <w:b/>
          <w:bCs/>
        </w:rPr>
        <w:t>R$ 60 milhões</w:t>
      </w:r>
      <w:r w:rsidRPr="00B94799">
        <w:t xml:space="preserve"> do Fundo Geral do Turismo </w:t>
      </w:r>
      <w:r>
        <w:t xml:space="preserve">– </w:t>
      </w:r>
      <w:r w:rsidRPr="00B94799">
        <w:t>FUNGETUR</w:t>
      </w:r>
      <w:r w:rsidR="0003608F">
        <w:t xml:space="preserve"> e</w:t>
      </w:r>
      <w:r w:rsidRPr="00B94799">
        <w:t xml:space="preserve"> </w:t>
      </w:r>
      <w:r w:rsidRPr="00B94799">
        <w:rPr>
          <w:b/>
          <w:bCs/>
        </w:rPr>
        <w:t>R$ 20 milhões</w:t>
      </w:r>
      <w:r w:rsidRPr="00B94799">
        <w:t xml:space="preserve"> da Caixa Econômica Federal.</w:t>
      </w:r>
    </w:p>
    <w:p w14:paraId="4FF8275A" w14:textId="77777777" w:rsidR="0042342D" w:rsidRDefault="0042342D" w:rsidP="0042342D">
      <w:pPr>
        <w:spacing w:line="259" w:lineRule="auto"/>
        <w:jc w:val="both"/>
      </w:pPr>
    </w:p>
    <w:p w14:paraId="7E0A9875" w14:textId="675DF395" w:rsidR="0042342D" w:rsidRDefault="0042342D" w:rsidP="0042342D">
      <w:pPr>
        <w:spacing w:line="259" w:lineRule="auto"/>
        <w:jc w:val="both"/>
      </w:pPr>
      <w:r>
        <w:t xml:space="preserve">4. </w:t>
      </w:r>
      <w:r w:rsidRPr="001911E9">
        <w:t>A GoiásFomento</w:t>
      </w:r>
      <w:r>
        <w:t xml:space="preserve"> se destacou dentre as demais agências por ter sido a</w:t>
      </w:r>
      <w:r w:rsidRPr="001911E9">
        <w:t xml:space="preserve"> única dentre as 17 </w:t>
      </w:r>
      <w:r>
        <w:t xml:space="preserve">que compõe o Sistema Nacional de Fomento </w:t>
      </w:r>
      <w:r w:rsidRPr="001911E9">
        <w:t xml:space="preserve">a operar com o Programa Nacional de Apoio às Micro e Empresas de Pequeno Porte </w:t>
      </w:r>
      <w:r>
        <w:t xml:space="preserve">- </w:t>
      </w:r>
      <w:r w:rsidRPr="001911E9">
        <w:t>P</w:t>
      </w:r>
      <w:r>
        <w:t>RONAMPE</w:t>
      </w:r>
      <w:r w:rsidRPr="001911E9">
        <w:t xml:space="preserve">, do Ministério da Economia, </w:t>
      </w:r>
      <w:r w:rsidRPr="001911E9">
        <w:lastRenderedPageBreak/>
        <w:t xml:space="preserve">no qual foram liberados </w:t>
      </w:r>
      <w:r w:rsidRPr="001911E9">
        <w:rPr>
          <w:b/>
          <w:bCs/>
        </w:rPr>
        <w:t>R$ 34 milhões</w:t>
      </w:r>
      <w:r w:rsidRPr="001911E9">
        <w:t xml:space="preserve"> </w:t>
      </w:r>
      <w:r w:rsidR="00DA5553">
        <w:t>em</w:t>
      </w:r>
      <w:r w:rsidRPr="001911E9">
        <w:t xml:space="preserve"> 492 operações de crédito em 2020</w:t>
      </w:r>
      <w:r>
        <w:t xml:space="preserve">, </w:t>
      </w:r>
      <w:r w:rsidR="00DA5553">
        <w:t>cujo objetivo do programa é</w:t>
      </w:r>
      <w:r>
        <w:t xml:space="preserve"> garantir </w:t>
      </w:r>
      <w:r w:rsidRPr="001B4716">
        <w:rPr>
          <w:b/>
          <w:bCs/>
        </w:rPr>
        <w:t>85%</w:t>
      </w:r>
      <w:r>
        <w:t xml:space="preserve"> do risco da carteira de crédito</w:t>
      </w:r>
      <w:r w:rsidRPr="001911E9">
        <w:t>.</w:t>
      </w:r>
    </w:p>
    <w:p w14:paraId="7787CEDD" w14:textId="77777777" w:rsidR="0042342D" w:rsidRDefault="0042342D" w:rsidP="0042342D">
      <w:pPr>
        <w:spacing w:line="259" w:lineRule="auto"/>
        <w:jc w:val="both"/>
      </w:pPr>
    </w:p>
    <w:p w14:paraId="3017F8FC" w14:textId="316BA65D" w:rsidR="0042342D" w:rsidRDefault="0042342D" w:rsidP="0042342D">
      <w:pPr>
        <w:spacing w:line="259" w:lineRule="auto"/>
        <w:jc w:val="both"/>
      </w:pPr>
      <w:r>
        <w:t xml:space="preserve">5. </w:t>
      </w:r>
      <w:r w:rsidRPr="00834202">
        <w:t xml:space="preserve">A GoiásFomento obteve certificado de integrante do Programa Nacional de Microcrédito Produtivo Orientado </w:t>
      </w:r>
      <w:r>
        <w:t xml:space="preserve">– </w:t>
      </w:r>
      <w:r w:rsidRPr="00834202">
        <w:t>PNMPO</w:t>
      </w:r>
      <w:r>
        <w:t xml:space="preserve">, </w:t>
      </w:r>
      <w:r w:rsidRPr="00834202">
        <w:t>do Ministério da Economia</w:t>
      </w:r>
      <w:r>
        <w:t xml:space="preserve"> e, d</w:t>
      </w:r>
      <w:r w:rsidRPr="00834202">
        <w:t xml:space="preserve">essa </w:t>
      </w:r>
      <w:r>
        <w:t>forma,</w:t>
      </w:r>
      <w:r w:rsidRPr="00834202">
        <w:t xml:space="preserve"> se credenciou como agente repassador de recursos federais</w:t>
      </w:r>
      <w:r>
        <w:t xml:space="preserve"> para operacionalizar programas de microcrédito</w:t>
      </w:r>
      <w:r w:rsidRPr="00834202">
        <w:t>, visando o desenvolvimento das micro e pequenas empresas</w:t>
      </w:r>
      <w:r w:rsidR="00630713">
        <w:t xml:space="preserve"> e microempreendedor individual</w:t>
      </w:r>
      <w:r w:rsidRPr="00834202">
        <w:t xml:space="preserve"> goian</w:t>
      </w:r>
      <w:r w:rsidR="00630713">
        <w:t>o</w:t>
      </w:r>
      <w:r w:rsidRPr="00834202">
        <w:t>.</w:t>
      </w:r>
    </w:p>
    <w:p w14:paraId="22B7A966" w14:textId="77777777" w:rsidR="0042342D" w:rsidRDefault="0042342D" w:rsidP="0042342D">
      <w:pPr>
        <w:spacing w:line="259" w:lineRule="auto"/>
        <w:jc w:val="both"/>
      </w:pPr>
    </w:p>
    <w:p w14:paraId="7AEA7D53" w14:textId="68F45A19" w:rsidR="0042342D" w:rsidRDefault="0042342D" w:rsidP="0042342D">
      <w:pPr>
        <w:spacing w:line="259" w:lineRule="auto"/>
        <w:jc w:val="both"/>
      </w:pPr>
      <w:r>
        <w:t>6. Atuou na proposta de constituição e v</w:t>
      </w:r>
      <w:r w:rsidRPr="00107519">
        <w:t>iabiliz</w:t>
      </w:r>
      <w:r>
        <w:t>ação do</w:t>
      </w:r>
      <w:r w:rsidRPr="00107519">
        <w:t xml:space="preserve"> Fundo de Equalização para o Empreendedor – FUNDEQ, </w:t>
      </w:r>
      <w:r>
        <w:t xml:space="preserve">que, ao final de 2020 </w:t>
      </w:r>
      <w:r w:rsidRPr="00107519">
        <w:t xml:space="preserve">instituído pela Lei Complementar Estadual 160/2020, </w:t>
      </w:r>
      <w:r w:rsidR="00FA4AE5">
        <w:t>o que possibilita</w:t>
      </w:r>
      <w:r w:rsidR="005A3F09">
        <w:t xml:space="preserve"> inicialmente</w:t>
      </w:r>
      <w:r>
        <w:t xml:space="preserve"> a injeção de</w:t>
      </w:r>
      <w:r w:rsidRPr="00107519">
        <w:t xml:space="preserve"> mais de </w:t>
      </w:r>
      <w:r w:rsidRPr="00107519">
        <w:rPr>
          <w:b/>
          <w:bCs/>
        </w:rPr>
        <w:t>R$ 140 milhões</w:t>
      </w:r>
      <w:r w:rsidRPr="00107519">
        <w:t xml:space="preserve"> em operações de crédito</w:t>
      </w:r>
      <w:r>
        <w:t>,</w:t>
      </w:r>
      <w:r w:rsidRPr="00107519">
        <w:t xml:space="preserve"> com taxas de juros subsidiadas às micro</w:t>
      </w:r>
      <w:r w:rsidR="00BE323B">
        <w:t>empresas</w:t>
      </w:r>
      <w:r w:rsidRPr="00107519">
        <w:t xml:space="preserve"> e empresas</w:t>
      </w:r>
      <w:r w:rsidR="00BE323B">
        <w:t xml:space="preserve"> de pequeno porte e produtor rural</w:t>
      </w:r>
      <w:r w:rsidRPr="00107519">
        <w:t>.</w:t>
      </w:r>
    </w:p>
    <w:p w14:paraId="10D6E01A" w14:textId="77777777" w:rsidR="0042342D" w:rsidRDefault="0042342D" w:rsidP="0042342D">
      <w:pPr>
        <w:spacing w:line="259" w:lineRule="auto"/>
        <w:jc w:val="both"/>
      </w:pPr>
    </w:p>
    <w:p w14:paraId="1E5FFE2B" w14:textId="6D7F5A62" w:rsidR="0042342D" w:rsidRDefault="0042342D" w:rsidP="0042342D">
      <w:pPr>
        <w:spacing w:line="259" w:lineRule="auto"/>
        <w:jc w:val="both"/>
      </w:pPr>
      <w:r>
        <w:t>7. Ampliou o acesso ao</w:t>
      </w:r>
      <w:r w:rsidRPr="005B22DF">
        <w:t xml:space="preserve"> Fundo G</w:t>
      </w:r>
      <w:r>
        <w:t>arantidor</w:t>
      </w:r>
      <w:r w:rsidRPr="005B22DF">
        <w:t xml:space="preserve"> de Investimentos do BNDES – FGI</w:t>
      </w:r>
      <w:r>
        <w:t>, para</w:t>
      </w:r>
      <w:r w:rsidRPr="005B22DF">
        <w:t xml:space="preserve"> mais de </w:t>
      </w:r>
      <w:r w:rsidRPr="00F90A5F">
        <w:rPr>
          <w:b/>
          <w:bCs/>
        </w:rPr>
        <w:t>R$ 18 milhões</w:t>
      </w:r>
      <w:r w:rsidRPr="005B22DF">
        <w:t xml:space="preserve"> </w:t>
      </w:r>
      <w:r>
        <w:t>a serem utilizados em</w:t>
      </w:r>
      <w:r w:rsidRPr="005B22DF">
        <w:t xml:space="preserve"> garantias nas operações de crédito junto à agência</w:t>
      </w:r>
      <w:r w:rsidR="00525291">
        <w:t xml:space="preserve"> em linhas próprias e de repasses</w:t>
      </w:r>
      <w:r w:rsidRPr="005B22DF">
        <w:t>.</w:t>
      </w:r>
    </w:p>
    <w:p w14:paraId="63A67E5A" w14:textId="77777777" w:rsidR="0042342D" w:rsidRDefault="0042342D" w:rsidP="0042342D">
      <w:pPr>
        <w:spacing w:line="259" w:lineRule="auto"/>
        <w:jc w:val="both"/>
      </w:pPr>
    </w:p>
    <w:p w14:paraId="054A2E85" w14:textId="046DA47B" w:rsidR="0042342D" w:rsidRDefault="0042342D" w:rsidP="0042342D">
      <w:pPr>
        <w:spacing w:line="259" w:lineRule="auto"/>
        <w:jc w:val="both"/>
      </w:pPr>
      <w:r>
        <w:t xml:space="preserve">8. Adotou medidas como: a suspensão de cobrança de parcelas por um período de 90 (noventa) dias; ampliação de carências; criação de novas linhas de crédito, alteração nos limites de financiamento; ampliação de setores atendidos; e adoção de novos sistemas mitigadores de riscos como o acesso ao FAMPE, </w:t>
      </w:r>
      <w:proofErr w:type="spellStart"/>
      <w:r>
        <w:t>GarantiGoiás</w:t>
      </w:r>
      <w:proofErr w:type="spellEnd"/>
      <w:r>
        <w:t xml:space="preserve">, </w:t>
      </w:r>
      <w:r w:rsidR="004B034F">
        <w:t xml:space="preserve">FGI e </w:t>
      </w:r>
      <w:r>
        <w:t>PRONAMPE.</w:t>
      </w:r>
    </w:p>
    <w:p w14:paraId="09E76668" w14:textId="77777777" w:rsidR="0042342D" w:rsidRDefault="0042342D" w:rsidP="0042342D">
      <w:pPr>
        <w:spacing w:line="259" w:lineRule="auto"/>
        <w:jc w:val="both"/>
      </w:pPr>
    </w:p>
    <w:p w14:paraId="0D505F34" w14:textId="77777777" w:rsidR="0042342D" w:rsidRDefault="0042342D" w:rsidP="0042342D">
      <w:pPr>
        <w:spacing w:line="259" w:lineRule="auto"/>
        <w:jc w:val="both"/>
      </w:pPr>
    </w:p>
    <w:p w14:paraId="5F6102F0" w14:textId="77777777" w:rsidR="0042342D" w:rsidRPr="00BE61FB" w:rsidRDefault="0042342D" w:rsidP="0042342D">
      <w:pPr>
        <w:spacing w:after="4" w:line="259" w:lineRule="auto"/>
        <w:ind w:left="-5"/>
        <w:jc w:val="both"/>
      </w:pPr>
      <w:r>
        <w:rPr>
          <w:b/>
        </w:rPr>
        <w:t>3</w:t>
      </w:r>
      <w:r w:rsidRPr="00BE61FB">
        <w:rPr>
          <w:b/>
        </w:rPr>
        <w:t>. PERSPECTIVAS</w:t>
      </w:r>
    </w:p>
    <w:p w14:paraId="27BAA21B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3DE9B562" w14:textId="77777777" w:rsidR="0042342D" w:rsidRDefault="0042342D" w:rsidP="0042342D">
      <w:pPr>
        <w:ind w:left="-5"/>
        <w:jc w:val="both"/>
      </w:pPr>
      <w:r w:rsidRPr="00BE61FB">
        <w:t xml:space="preserve">A </w:t>
      </w:r>
      <w:r w:rsidRPr="00BE61FB">
        <w:rPr>
          <w:b/>
        </w:rPr>
        <w:t>GOIÁSFOMENTO</w:t>
      </w:r>
      <w:r w:rsidRPr="00BE61FB">
        <w:t xml:space="preserve"> </w:t>
      </w:r>
      <w:r>
        <w:t xml:space="preserve">continuará </w:t>
      </w:r>
      <w:r w:rsidRPr="00BE61FB">
        <w:t xml:space="preserve">atuando em conjunto com </w:t>
      </w:r>
      <w:r>
        <w:t>demais órgãos e instituições governamentais, em especial su</w:t>
      </w:r>
      <w:r w:rsidRPr="00BE61FB">
        <w:t>a jurisdiciona</w:t>
      </w:r>
      <w:r>
        <w:t>nte</w:t>
      </w:r>
      <w:r w:rsidRPr="00BE61FB">
        <w:t xml:space="preserve">, a Secretaria de Indústria, Comércio e Serviços </w:t>
      </w:r>
      <w:r>
        <w:t>na implementação de diversas ações de impacto econômico e social no Estado de Goiás.</w:t>
      </w:r>
    </w:p>
    <w:p w14:paraId="49E046B2" w14:textId="77777777" w:rsidR="0042342D" w:rsidRDefault="0042342D" w:rsidP="0042342D">
      <w:pPr>
        <w:ind w:left="-5"/>
        <w:jc w:val="both"/>
      </w:pPr>
    </w:p>
    <w:p w14:paraId="3C04E931" w14:textId="77777777" w:rsidR="0042342D" w:rsidRPr="001D40F8" w:rsidRDefault="0042342D" w:rsidP="0042342D">
      <w:pPr>
        <w:ind w:left="-5"/>
        <w:jc w:val="both"/>
      </w:pPr>
      <w:r>
        <w:t xml:space="preserve">A GoiásFomento lançará, com equalização do FUNDEQ, linhas de crédito para produtores rurais por meio da linha </w:t>
      </w:r>
      <w:r>
        <w:rPr>
          <w:b/>
          <w:bCs/>
        </w:rPr>
        <w:t xml:space="preserve">Produtor Empreendedor, </w:t>
      </w:r>
      <w:r>
        <w:t xml:space="preserve">linha para microcrédito no âmbito do </w:t>
      </w:r>
      <w:r>
        <w:rPr>
          <w:b/>
          <w:bCs/>
        </w:rPr>
        <w:t xml:space="preserve">PMNPO, </w:t>
      </w:r>
      <w:r>
        <w:t xml:space="preserve">para estímulo à exportação por meio da linha </w:t>
      </w:r>
      <w:r>
        <w:rPr>
          <w:b/>
          <w:bCs/>
        </w:rPr>
        <w:t xml:space="preserve">Cultura Exportadora, </w:t>
      </w:r>
      <w:r>
        <w:t xml:space="preserve">linha para o turismo, mineradoras, empresas com </w:t>
      </w:r>
      <w:proofErr w:type="spellStart"/>
      <w:r>
        <w:t>pré</w:t>
      </w:r>
      <w:proofErr w:type="spellEnd"/>
      <w:r>
        <w:t xml:space="preserve">-cadastro para acesso ao </w:t>
      </w:r>
      <w:proofErr w:type="spellStart"/>
      <w:r>
        <w:t>Pronampe</w:t>
      </w:r>
      <w:proofErr w:type="spellEnd"/>
      <w:r>
        <w:t xml:space="preserve"> e, linha especial para o microcrédito com 100% de subsídio nos encargos financeiros.</w:t>
      </w:r>
    </w:p>
    <w:p w14:paraId="2372BE11" w14:textId="77777777" w:rsidR="0042342D" w:rsidRDefault="0042342D" w:rsidP="0042342D">
      <w:pPr>
        <w:ind w:left="-5"/>
        <w:jc w:val="both"/>
      </w:pPr>
    </w:p>
    <w:p w14:paraId="03F24DAC" w14:textId="3335438D" w:rsidR="0042342D" w:rsidRDefault="0042342D" w:rsidP="0042342D">
      <w:pPr>
        <w:ind w:left="-5"/>
        <w:jc w:val="both"/>
      </w:pPr>
      <w:r w:rsidRPr="00366F3B">
        <w:t>Alcançar a meta de</w:t>
      </w:r>
      <w:r>
        <w:t xml:space="preserve"> desembolsos em</w:t>
      </w:r>
      <w:r w:rsidRPr="00366F3B">
        <w:t xml:space="preserve"> </w:t>
      </w:r>
      <w:r w:rsidRPr="00D02467">
        <w:rPr>
          <w:b/>
          <w:bCs/>
        </w:rPr>
        <w:t>R$ 135 milhões</w:t>
      </w:r>
      <w:r w:rsidRPr="00366F3B">
        <w:t xml:space="preserve"> </w:t>
      </w:r>
      <w:r>
        <w:t>nas</w:t>
      </w:r>
      <w:r w:rsidRPr="00366F3B">
        <w:t xml:space="preserve"> operações de crédito</w:t>
      </w:r>
      <w:r>
        <w:t xml:space="preserve"> com recursos próprios e repasses</w:t>
      </w:r>
      <w:r w:rsidR="005448B4">
        <w:t xml:space="preserve">, com a maior parte desse volume disponibilizado por meio de cartão de crédito pré-pago, possibilitando maior dinamismo na utilização desses recursos, bem como, de melhor auditoria </w:t>
      </w:r>
      <w:r w:rsidR="00F43010">
        <w:t>em sua aplicação</w:t>
      </w:r>
      <w:r w:rsidR="005448B4">
        <w:t>.</w:t>
      </w:r>
    </w:p>
    <w:p w14:paraId="019A7B82" w14:textId="77777777" w:rsidR="0042342D" w:rsidRDefault="0042342D" w:rsidP="0042342D">
      <w:pPr>
        <w:ind w:left="-5"/>
        <w:jc w:val="both"/>
      </w:pPr>
    </w:p>
    <w:p w14:paraId="1E80CA4C" w14:textId="77777777" w:rsidR="0042342D" w:rsidRDefault="0042342D" w:rsidP="0042342D">
      <w:pPr>
        <w:ind w:left="-5"/>
        <w:jc w:val="both"/>
      </w:pPr>
      <w:r>
        <w:t xml:space="preserve">Ampliar o leque de serviços financeiros por meio de contratação de soluções em </w:t>
      </w:r>
      <w:proofErr w:type="spellStart"/>
      <w:r w:rsidRPr="00D02467">
        <w:rPr>
          <w:i/>
          <w:iCs/>
        </w:rPr>
        <w:t>whit</w:t>
      </w:r>
      <w:proofErr w:type="spellEnd"/>
      <w:r w:rsidRPr="00D02467">
        <w:rPr>
          <w:i/>
          <w:iCs/>
        </w:rPr>
        <w:t xml:space="preserve"> </w:t>
      </w:r>
      <w:proofErr w:type="spellStart"/>
      <w:r w:rsidRPr="00D02467">
        <w:rPr>
          <w:i/>
          <w:iCs/>
        </w:rPr>
        <w:t>label</w:t>
      </w:r>
      <w:proofErr w:type="spellEnd"/>
      <w:r>
        <w:t xml:space="preserve">, incluindo serviços de conta digital, </w:t>
      </w:r>
      <w:proofErr w:type="spellStart"/>
      <w:r>
        <w:t>subadquirência</w:t>
      </w:r>
      <w:proofErr w:type="spellEnd"/>
      <w:r>
        <w:t>, emissor de cartão, associado a realização de operações de crédito para desconto de recebíveis, cujo processo de estudo está em andamento.</w:t>
      </w:r>
    </w:p>
    <w:p w14:paraId="4DDD958F" w14:textId="052B4F25" w:rsidR="0042342D" w:rsidRDefault="0042342D" w:rsidP="0042342D">
      <w:pPr>
        <w:ind w:left="-5"/>
        <w:jc w:val="both"/>
      </w:pPr>
    </w:p>
    <w:p w14:paraId="6987F3CA" w14:textId="3CE7ABAB" w:rsidR="00D5520A" w:rsidRDefault="00D5520A" w:rsidP="0042342D">
      <w:pPr>
        <w:ind w:left="-5"/>
        <w:jc w:val="both"/>
      </w:pPr>
      <w:r>
        <w:t xml:space="preserve">Formalização de parceiras com órgãos da administração estadual bem como com prefeituras goianas visando a disponibilização de cartão </w:t>
      </w:r>
      <w:proofErr w:type="spellStart"/>
      <w:r w:rsidRPr="002641CD">
        <w:rPr>
          <w:i/>
          <w:iCs/>
        </w:rPr>
        <w:t>private</w:t>
      </w:r>
      <w:proofErr w:type="spellEnd"/>
      <w:r w:rsidRPr="002641CD">
        <w:rPr>
          <w:i/>
          <w:iCs/>
        </w:rPr>
        <w:t xml:space="preserve"> </w:t>
      </w:r>
      <w:proofErr w:type="spellStart"/>
      <w:r w:rsidRPr="002641CD">
        <w:rPr>
          <w:i/>
          <w:iCs/>
        </w:rPr>
        <w:t>label</w:t>
      </w:r>
      <w:proofErr w:type="spellEnd"/>
      <w:r>
        <w:t xml:space="preserve"> na modalidade pré-pago, para pagamento de programas sociais</w:t>
      </w:r>
      <w:r w:rsidR="00855C42">
        <w:t xml:space="preserve"> e</w:t>
      </w:r>
      <w:r>
        <w:t xml:space="preserve"> de transferência de renda</w:t>
      </w:r>
      <w:r w:rsidR="00855C42">
        <w:t>.</w:t>
      </w:r>
    </w:p>
    <w:p w14:paraId="48BF6D05" w14:textId="77777777" w:rsidR="0042342D" w:rsidRDefault="0042342D" w:rsidP="0042342D">
      <w:pPr>
        <w:ind w:left="-5"/>
        <w:jc w:val="both"/>
      </w:pPr>
    </w:p>
    <w:p w14:paraId="72C647B5" w14:textId="77777777" w:rsidR="0042342D" w:rsidRDefault="0042342D" w:rsidP="0042342D">
      <w:pPr>
        <w:ind w:left="-5"/>
        <w:jc w:val="both"/>
      </w:pPr>
    </w:p>
    <w:p w14:paraId="3058126F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Agradecimentos </w:t>
      </w:r>
    </w:p>
    <w:p w14:paraId="3DC7FB73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3C063D6C" w14:textId="359910EC" w:rsidR="0042342D" w:rsidRPr="00BE61FB" w:rsidRDefault="0042342D" w:rsidP="0042342D">
      <w:pPr>
        <w:ind w:left="-5"/>
        <w:jc w:val="both"/>
      </w:pPr>
      <w:r w:rsidRPr="00BE61FB">
        <w:t xml:space="preserve">A Diretoria Executiva apresenta os resultados obtidos no </w:t>
      </w:r>
      <w:r>
        <w:t>exercício</w:t>
      </w:r>
      <w:r w:rsidRPr="00BE61FB">
        <w:t xml:space="preserve"> de 20</w:t>
      </w:r>
      <w:r>
        <w:t>20</w:t>
      </w:r>
      <w:r w:rsidRPr="00BE61FB">
        <w:t xml:space="preserve">, </w:t>
      </w:r>
      <w:r>
        <w:t xml:space="preserve">destaca </w:t>
      </w:r>
      <w:r w:rsidRPr="00BE61FB">
        <w:t xml:space="preserve">a administração profissional esperada </w:t>
      </w:r>
      <w:r w:rsidR="00D04384">
        <w:t>dessa sociedade de economia mista,</w:t>
      </w:r>
      <w:r w:rsidRPr="00BE61FB">
        <w:t xml:space="preserve"> focada </w:t>
      </w:r>
      <w:r>
        <w:t xml:space="preserve">na ampliação </w:t>
      </w:r>
      <w:r w:rsidRPr="00BE61FB">
        <w:t xml:space="preserve">em seu fortalecimento institucional, empresarial e bancário, zelando por seu patrimônio e valorização de seus colaboradores. </w:t>
      </w:r>
    </w:p>
    <w:p w14:paraId="566F3F7C" w14:textId="77777777" w:rsidR="0042342D" w:rsidRPr="00BE61FB" w:rsidRDefault="0042342D" w:rsidP="0042342D">
      <w:pPr>
        <w:spacing w:line="259" w:lineRule="auto"/>
        <w:jc w:val="both"/>
      </w:pPr>
      <w:r w:rsidRPr="00BE61FB">
        <w:t xml:space="preserve"> </w:t>
      </w:r>
    </w:p>
    <w:p w14:paraId="04E35D6E" w14:textId="77777777" w:rsidR="0042342D" w:rsidRDefault="0042342D" w:rsidP="0042342D">
      <w:pPr>
        <w:ind w:left="-5"/>
        <w:jc w:val="both"/>
      </w:pPr>
      <w:r w:rsidRPr="00BE61FB">
        <w:t>Agradece aos acionistas, clientes, parceiros da iniciativa pública e privada, fornecedores, conselheiros, colaboradores e todos que contribuíram para mais esse semestre de efetivo alcance dos objetivos pelo trabalho realizado nesse período.</w:t>
      </w:r>
      <w:r>
        <w:t xml:space="preserve"> </w:t>
      </w:r>
    </w:p>
    <w:p w14:paraId="2183EF39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5D7D2244" w14:textId="31B61DB2" w:rsidR="0042342D" w:rsidRDefault="0042342D" w:rsidP="0042342D">
      <w:pPr>
        <w:spacing w:line="259" w:lineRule="auto"/>
        <w:jc w:val="both"/>
      </w:pPr>
      <w:r>
        <w:t xml:space="preserve"> Goiânia (GO), 23 de </w:t>
      </w:r>
      <w:r w:rsidR="00904644">
        <w:t>fevereiro</w:t>
      </w:r>
      <w:r>
        <w:t xml:space="preserve"> de 2021</w:t>
      </w:r>
      <w:r>
        <w:rPr>
          <w:b/>
        </w:rPr>
        <w:t xml:space="preserve">. </w:t>
      </w:r>
    </w:p>
    <w:p w14:paraId="24986C43" w14:textId="77777777" w:rsidR="0042342D" w:rsidRDefault="0042342D" w:rsidP="0042342D">
      <w:pPr>
        <w:spacing w:line="259" w:lineRule="auto"/>
        <w:ind w:left="55"/>
        <w:jc w:val="both"/>
        <w:rPr>
          <w:b/>
        </w:rPr>
      </w:pPr>
      <w:r>
        <w:rPr>
          <w:b/>
        </w:rPr>
        <w:t xml:space="preserve"> </w:t>
      </w:r>
    </w:p>
    <w:p w14:paraId="2CBFB7C0" w14:textId="77777777" w:rsidR="0042342D" w:rsidRDefault="0042342D" w:rsidP="0042342D">
      <w:pPr>
        <w:spacing w:line="259" w:lineRule="auto"/>
        <w:ind w:left="55"/>
        <w:jc w:val="both"/>
      </w:pPr>
      <w:r>
        <w:t xml:space="preserve">      </w:t>
      </w:r>
    </w:p>
    <w:p w14:paraId="51F90F33" w14:textId="77777777" w:rsidR="0042342D" w:rsidRDefault="0042342D" w:rsidP="0042342D">
      <w:pPr>
        <w:pStyle w:val="Ttulo1"/>
        <w:ind w:right="7"/>
        <w:jc w:val="center"/>
      </w:pPr>
      <w:r>
        <w:t>JOSÉ PAULO FÉLIX DE SOUZA LOUREIRO</w:t>
      </w:r>
    </w:p>
    <w:p w14:paraId="5AC8F82F" w14:textId="77777777" w:rsidR="0042342D" w:rsidRDefault="0042342D" w:rsidP="0042342D">
      <w:pPr>
        <w:spacing w:line="259" w:lineRule="auto"/>
        <w:ind w:right="5"/>
        <w:jc w:val="center"/>
      </w:pPr>
      <w:r>
        <w:t>Presidente do Conselho de Administração</w:t>
      </w:r>
    </w:p>
    <w:p w14:paraId="15F619BB" w14:textId="77777777" w:rsidR="0042342D" w:rsidRDefault="0042342D" w:rsidP="0042342D">
      <w:pPr>
        <w:spacing w:line="259" w:lineRule="auto"/>
        <w:ind w:left="55"/>
        <w:jc w:val="center"/>
      </w:pPr>
    </w:p>
    <w:p w14:paraId="1D45E4E4" w14:textId="51C41057" w:rsidR="0042342D" w:rsidRDefault="0042342D" w:rsidP="0042342D">
      <w:pPr>
        <w:spacing w:line="259" w:lineRule="auto"/>
        <w:jc w:val="center"/>
      </w:pPr>
    </w:p>
    <w:p w14:paraId="1D6ABD05" w14:textId="77777777" w:rsidR="0042342D" w:rsidRDefault="0042342D" w:rsidP="0042342D">
      <w:pPr>
        <w:pStyle w:val="Ttulo1"/>
        <w:ind w:right="7"/>
        <w:jc w:val="center"/>
      </w:pPr>
      <w:r>
        <w:t>RIVAEL AGUIAR PEREIRA</w:t>
      </w:r>
    </w:p>
    <w:p w14:paraId="22E23984" w14:textId="77777777" w:rsidR="0042342D" w:rsidRDefault="0042342D" w:rsidP="0042342D">
      <w:pPr>
        <w:spacing w:line="259" w:lineRule="auto"/>
        <w:ind w:right="5"/>
        <w:jc w:val="center"/>
      </w:pPr>
      <w:r>
        <w:t>Diretor-Presidente</w:t>
      </w:r>
    </w:p>
    <w:p w14:paraId="3A7A741F" w14:textId="77777777" w:rsidR="0042342D" w:rsidRDefault="0042342D" w:rsidP="0042342D">
      <w:pPr>
        <w:spacing w:line="259" w:lineRule="auto"/>
        <w:jc w:val="center"/>
        <w:rPr>
          <w:sz w:val="16"/>
          <w:szCs w:val="16"/>
        </w:rPr>
      </w:pPr>
    </w:p>
    <w:p w14:paraId="06C59026" w14:textId="77777777" w:rsidR="0042342D" w:rsidRDefault="0042342D" w:rsidP="0042342D">
      <w:pPr>
        <w:tabs>
          <w:tab w:val="left" w:pos="7950"/>
        </w:tabs>
        <w:spacing w:line="259" w:lineRule="auto"/>
        <w:jc w:val="center"/>
      </w:pPr>
    </w:p>
    <w:p w14:paraId="6437AED6" w14:textId="77777777" w:rsidR="0042342D" w:rsidRDefault="0042342D" w:rsidP="0042342D">
      <w:pPr>
        <w:pStyle w:val="Ttulo1"/>
        <w:ind w:right="7"/>
        <w:jc w:val="center"/>
      </w:pPr>
      <w:r>
        <w:t>FERNANDO FREITAS SILVA</w:t>
      </w:r>
    </w:p>
    <w:p w14:paraId="473B27F3" w14:textId="77777777" w:rsidR="0042342D" w:rsidRDefault="0042342D" w:rsidP="0042342D">
      <w:pPr>
        <w:spacing w:line="259" w:lineRule="auto"/>
        <w:jc w:val="center"/>
        <w:rPr>
          <w:sz w:val="16"/>
          <w:szCs w:val="16"/>
        </w:rPr>
      </w:pPr>
      <w:r>
        <w:t>Diretor r de Operações</w:t>
      </w:r>
    </w:p>
    <w:p w14:paraId="437877CF" w14:textId="77777777" w:rsidR="0042342D" w:rsidRPr="000A351F" w:rsidRDefault="0042342D" w:rsidP="0042342D">
      <w:pPr>
        <w:spacing w:line="259" w:lineRule="auto"/>
        <w:jc w:val="both"/>
        <w:rPr>
          <w:sz w:val="16"/>
          <w:szCs w:val="16"/>
        </w:rPr>
      </w:pPr>
    </w:p>
    <w:p w14:paraId="2EB6ECBF" w14:textId="62E99D19" w:rsidR="0042342D" w:rsidRDefault="0042342D" w:rsidP="00D24918">
      <w:pPr>
        <w:tabs>
          <w:tab w:val="left" w:pos="7950"/>
        </w:tabs>
        <w:spacing w:line="259" w:lineRule="auto"/>
        <w:jc w:val="center"/>
      </w:pPr>
    </w:p>
    <w:p w14:paraId="3AA52EC8" w14:textId="77777777" w:rsidR="0042342D" w:rsidRDefault="0042342D" w:rsidP="0042342D">
      <w:pPr>
        <w:pStyle w:val="Ttulo1"/>
        <w:ind w:right="7"/>
        <w:jc w:val="center"/>
      </w:pPr>
      <w:r>
        <w:t>JOSÉ ALVES QUEIROZ</w:t>
      </w:r>
    </w:p>
    <w:p w14:paraId="6E008EDD" w14:textId="77777777" w:rsidR="0042342D" w:rsidRDefault="0042342D" w:rsidP="0042342D">
      <w:pPr>
        <w:spacing w:line="259" w:lineRule="auto"/>
        <w:ind w:right="5"/>
        <w:jc w:val="center"/>
      </w:pPr>
      <w:r>
        <w:t>Diretor Administrativo e Financeiro</w:t>
      </w:r>
    </w:p>
    <w:p w14:paraId="488418EA" w14:textId="491D672A" w:rsidR="00E15FF0" w:rsidRPr="005A4D4E" w:rsidRDefault="00E15FF0" w:rsidP="0042342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</w:p>
    <w:sectPr w:rsidR="00E15FF0" w:rsidRPr="005A4D4E" w:rsidSect="00E74AF9">
      <w:headerReference w:type="default" r:id="rId7"/>
      <w:footerReference w:type="default" r:id="rId8"/>
      <w:pgSz w:w="11900" w:h="16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C5E3" w14:textId="77777777" w:rsidR="003F6744" w:rsidRDefault="003F6744" w:rsidP="00416B49">
      <w:r>
        <w:separator/>
      </w:r>
    </w:p>
  </w:endnote>
  <w:endnote w:type="continuationSeparator" w:id="0">
    <w:p w14:paraId="18277CE6" w14:textId="77777777" w:rsidR="003F6744" w:rsidRDefault="003F6744" w:rsidP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FDB4" w14:textId="77777777" w:rsidR="008A32AA" w:rsidRDefault="001A163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89786C" wp14:editId="45DDA498">
          <wp:simplePos x="0" y="0"/>
          <wp:positionH relativeFrom="column">
            <wp:posOffset>-1145450</wp:posOffset>
          </wp:positionH>
          <wp:positionV relativeFrom="paragraph">
            <wp:posOffset>-911225</wp:posOffset>
          </wp:positionV>
          <wp:extent cx="7608739" cy="1563370"/>
          <wp:effectExtent l="0" t="0" r="11430" b="114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73" cy="158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DCEA" w14:textId="77777777" w:rsidR="003F6744" w:rsidRDefault="003F6744" w:rsidP="00416B49">
      <w:r>
        <w:separator/>
      </w:r>
    </w:p>
  </w:footnote>
  <w:footnote w:type="continuationSeparator" w:id="0">
    <w:p w14:paraId="4D89A7D5" w14:textId="77777777" w:rsidR="003F6744" w:rsidRDefault="003F6744" w:rsidP="0041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C43A" w14:textId="77777777" w:rsidR="00416B49" w:rsidRDefault="008A32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441388" wp14:editId="5BAE3739">
          <wp:simplePos x="0" y="0"/>
          <wp:positionH relativeFrom="column">
            <wp:posOffset>-1143635</wp:posOffset>
          </wp:positionH>
          <wp:positionV relativeFrom="paragraph">
            <wp:posOffset>-449580</wp:posOffset>
          </wp:positionV>
          <wp:extent cx="7658735" cy="3951396"/>
          <wp:effectExtent l="0" t="0" r="0" b="1143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 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337" cy="396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C4DB16" w14:textId="77777777" w:rsidR="00416B49" w:rsidRDefault="00416B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599"/>
    <w:multiLevelType w:val="hybridMultilevel"/>
    <w:tmpl w:val="EB7E0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E67"/>
    <w:multiLevelType w:val="hybridMultilevel"/>
    <w:tmpl w:val="BAF0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7C0"/>
    <w:multiLevelType w:val="hybridMultilevel"/>
    <w:tmpl w:val="2FF64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005"/>
    <w:multiLevelType w:val="hybridMultilevel"/>
    <w:tmpl w:val="2A58E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EC2"/>
    <w:multiLevelType w:val="multilevel"/>
    <w:tmpl w:val="71D42DB6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none"/>
      <w:lvlText w:val="b.1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 w15:restartNumberingAfterBreak="0">
    <w:nsid w:val="11B744BA"/>
    <w:multiLevelType w:val="hybridMultilevel"/>
    <w:tmpl w:val="9122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1492"/>
    <w:multiLevelType w:val="hybridMultilevel"/>
    <w:tmpl w:val="F9944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F49"/>
    <w:multiLevelType w:val="hybridMultilevel"/>
    <w:tmpl w:val="15862E7E"/>
    <w:lvl w:ilvl="0" w:tplc="4EA44B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402E"/>
    <w:multiLevelType w:val="hybridMultilevel"/>
    <w:tmpl w:val="B9EAFB26"/>
    <w:lvl w:ilvl="0" w:tplc="4F16812E">
      <w:start w:val="1"/>
      <w:numFmt w:val="lowerLetter"/>
      <w:lvlText w:val="%1."/>
      <w:lvlJc w:val="left"/>
      <w:pPr>
        <w:ind w:left="16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09C6"/>
    <w:multiLevelType w:val="hybridMultilevel"/>
    <w:tmpl w:val="621E98CA"/>
    <w:lvl w:ilvl="0" w:tplc="3FB46E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C25F2"/>
    <w:multiLevelType w:val="hybridMultilevel"/>
    <w:tmpl w:val="30C09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5329"/>
    <w:multiLevelType w:val="hybridMultilevel"/>
    <w:tmpl w:val="2E2A5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383F"/>
    <w:multiLevelType w:val="hybridMultilevel"/>
    <w:tmpl w:val="187CAF96"/>
    <w:lvl w:ilvl="0" w:tplc="6C9E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0FC5"/>
    <w:multiLevelType w:val="hybridMultilevel"/>
    <w:tmpl w:val="66D2136A"/>
    <w:lvl w:ilvl="0" w:tplc="0A5A9C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151A2"/>
    <w:multiLevelType w:val="hybridMultilevel"/>
    <w:tmpl w:val="40E29444"/>
    <w:lvl w:ilvl="0" w:tplc="7096CA90">
      <w:start w:val="1"/>
      <w:numFmt w:val="upperRoman"/>
      <w:lvlText w:val="%1 –"/>
      <w:lvlJc w:val="left"/>
      <w:pPr>
        <w:ind w:left="107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93" w:hanging="360"/>
      </w:pPr>
    </w:lvl>
    <w:lvl w:ilvl="2" w:tplc="0416001B">
      <w:start w:val="1"/>
      <w:numFmt w:val="lowerRoman"/>
      <w:lvlText w:val="%3."/>
      <w:lvlJc w:val="right"/>
      <w:pPr>
        <w:ind w:left="2513" w:hanging="180"/>
      </w:pPr>
    </w:lvl>
    <w:lvl w:ilvl="3" w:tplc="0416000F">
      <w:start w:val="1"/>
      <w:numFmt w:val="decimal"/>
      <w:lvlText w:val="%4."/>
      <w:lvlJc w:val="left"/>
      <w:pPr>
        <w:ind w:left="3233" w:hanging="360"/>
      </w:pPr>
    </w:lvl>
    <w:lvl w:ilvl="4" w:tplc="04160019">
      <w:start w:val="1"/>
      <w:numFmt w:val="lowerLetter"/>
      <w:lvlText w:val="%5."/>
      <w:lvlJc w:val="left"/>
      <w:pPr>
        <w:ind w:left="3953" w:hanging="360"/>
      </w:pPr>
    </w:lvl>
    <w:lvl w:ilvl="5" w:tplc="0416001B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4CD70D38"/>
    <w:multiLevelType w:val="hybridMultilevel"/>
    <w:tmpl w:val="B9EE7BC8"/>
    <w:lvl w:ilvl="0" w:tplc="11821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66E"/>
    <w:multiLevelType w:val="hybridMultilevel"/>
    <w:tmpl w:val="B97C3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E141D"/>
    <w:multiLevelType w:val="hybridMultilevel"/>
    <w:tmpl w:val="3FE6A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3CF3"/>
    <w:multiLevelType w:val="hybridMultilevel"/>
    <w:tmpl w:val="92484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BAE"/>
    <w:multiLevelType w:val="hybridMultilevel"/>
    <w:tmpl w:val="3D2A01A4"/>
    <w:lvl w:ilvl="0" w:tplc="C18A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77FF"/>
    <w:multiLevelType w:val="hybridMultilevel"/>
    <w:tmpl w:val="AB625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340B"/>
    <w:multiLevelType w:val="hybridMultilevel"/>
    <w:tmpl w:val="745EC3C8"/>
    <w:lvl w:ilvl="0" w:tplc="CBFE8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C2D87"/>
    <w:multiLevelType w:val="hybridMultilevel"/>
    <w:tmpl w:val="7C926F2C"/>
    <w:lvl w:ilvl="0" w:tplc="C3F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533"/>
    <w:multiLevelType w:val="hybridMultilevel"/>
    <w:tmpl w:val="2536D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3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6"/>
  </w:num>
  <w:num w:numId="10">
    <w:abstractNumId w:val="18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20"/>
  </w:num>
  <w:num w:numId="20">
    <w:abstractNumId w:val="19"/>
  </w:num>
  <w:num w:numId="21">
    <w:abstractNumId w:val="2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49"/>
    <w:rsid w:val="00003CD5"/>
    <w:rsid w:val="0001755C"/>
    <w:rsid w:val="00021FC1"/>
    <w:rsid w:val="0003608F"/>
    <w:rsid w:val="00047E87"/>
    <w:rsid w:val="00052D40"/>
    <w:rsid w:val="0006186A"/>
    <w:rsid w:val="000642B5"/>
    <w:rsid w:val="00076828"/>
    <w:rsid w:val="000778B5"/>
    <w:rsid w:val="00080F4C"/>
    <w:rsid w:val="000A3FD5"/>
    <w:rsid w:val="000C7262"/>
    <w:rsid w:val="000D6C09"/>
    <w:rsid w:val="000D7FF5"/>
    <w:rsid w:val="000E6C23"/>
    <w:rsid w:val="001239B7"/>
    <w:rsid w:val="0015122A"/>
    <w:rsid w:val="001752BD"/>
    <w:rsid w:val="00196532"/>
    <w:rsid w:val="001A163C"/>
    <w:rsid w:val="001A6661"/>
    <w:rsid w:val="001B7464"/>
    <w:rsid w:val="001C117B"/>
    <w:rsid w:val="001D33DF"/>
    <w:rsid w:val="001D4B05"/>
    <w:rsid w:val="001E0B9E"/>
    <w:rsid w:val="001F10AA"/>
    <w:rsid w:val="001F73CE"/>
    <w:rsid w:val="00206BF5"/>
    <w:rsid w:val="002142D8"/>
    <w:rsid w:val="00225AF0"/>
    <w:rsid w:val="00242639"/>
    <w:rsid w:val="00255700"/>
    <w:rsid w:val="00260868"/>
    <w:rsid w:val="002615A9"/>
    <w:rsid w:val="002641CD"/>
    <w:rsid w:val="00272540"/>
    <w:rsid w:val="002970A9"/>
    <w:rsid w:val="002B326F"/>
    <w:rsid w:val="002C217F"/>
    <w:rsid w:val="002E7F6D"/>
    <w:rsid w:val="00303F81"/>
    <w:rsid w:val="0031263C"/>
    <w:rsid w:val="00330CC8"/>
    <w:rsid w:val="00356E79"/>
    <w:rsid w:val="00371547"/>
    <w:rsid w:val="00373AD5"/>
    <w:rsid w:val="003762AE"/>
    <w:rsid w:val="003A31B9"/>
    <w:rsid w:val="003B3580"/>
    <w:rsid w:val="003C123F"/>
    <w:rsid w:val="003C600E"/>
    <w:rsid w:val="003F16C9"/>
    <w:rsid w:val="003F63C5"/>
    <w:rsid w:val="003F6744"/>
    <w:rsid w:val="0041365A"/>
    <w:rsid w:val="00416B49"/>
    <w:rsid w:val="0042342D"/>
    <w:rsid w:val="0045067F"/>
    <w:rsid w:val="004556B3"/>
    <w:rsid w:val="00455740"/>
    <w:rsid w:val="00484C13"/>
    <w:rsid w:val="00486D5F"/>
    <w:rsid w:val="00496266"/>
    <w:rsid w:val="00496793"/>
    <w:rsid w:val="004A24DF"/>
    <w:rsid w:val="004B034F"/>
    <w:rsid w:val="004B7D96"/>
    <w:rsid w:val="004C4C2E"/>
    <w:rsid w:val="004D3E08"/>
    <w:rsid w:val="00504035"/>
    <w:rsid w:val="005145E7"/>
    <w:rsid w:val="00514AF4"/>
    <w:rsid w:val="00514B36"/>
    <w:rsid w:val="00525291"/>
    <w:rsid w:val="00525763"/>
    <w:rsid w:val="00531885"/>
    <w:rsid w:val="0054030A"/>
    <w:rsid w:val="00541D65"/>
    <w:rsid w:val="005448B4"/>
    <w:rsid w:val="00551628"/>
    <w:rsid w:val="00555B27"/>
    <w:rsid w:val="00560CB0"/>
    <w:rsid w:val="00591720"/>
    <w:rsid w:val="005977B6"/>
    <w:rsid w:val="005A0457"/>
    <w:rsid w:val="005A1909"/>
    <w:rsid w:val="005A3F09"/>
    <w:rsid w:val="005A4D4E"/>
    <w:rsid w:val="005A5F47"/>
    <w:rsid w:val="005C2F7D"/>
    <w:rsid w:val="005E73D3"/>
    <w:rsid w:val="00610241"/>
    <w:rsid w:val="00610D62"/>
    <w:rsid w:val="006272FB"/>
    <w:rsid w:val="00630713"/>
    <w:rsid w:val="00647A58"/>
    <w:rsid w:val="00691D9C"/>
    <w:rsid w:val="006A4946"/>
    <w:rsid w:val="006C5DB2"/>
    <w:rsid w:val="006D1CDA"/>
    <w:rsid w:val="006E0874"/>
    <w:rsid w:val="006F2355"/>
    <w:rsid w:val="006F7A84"/>
    <w:rsid w:val="00700AF6"/>
    <w:rsid w:val="00701744"/>
    <w:rsid w:val="00715274"/>
    <w:rsid w:val="00732574"/>
    <w:rsid w:val="00733562"/>
    <w:rsid w:val="00735F58"/>
    <w:rsid w:val="00743DAD"/>
    <w:rsid w:val="00746D97"/>
    <w:rsid w:val="007A2D45"/>
    <w:rsid w:val="007A4645"/>
    <w:rsid w:val="007B5032"/>
    <w:rsid w:val="008246F2"/>
    <w:rsid w:val="0083134A"/>
    <w:rsid w:val="0083385A"/>
    <w:rsid w:val="0083469C"/>
    <w:rsid w:val="00834A7A"/>
    <w:rsid w:val="0085496C"/>
    <w:rsid w:val="00855C07"/>
    <w:rsid w:val="00855C42"/>
    <w:rsid w:val="0086796B"/>
    <w:rsid w:val="00871F6B"/>
    <w:rsid w:val="008760A1"/>
    <w:rsid w:val="00894164"/>
    <w:rsid w:val="008A32AA"/>
    <w:rsid w:val="008C3369"/>
    <w:rsid w:val="008C4C2F"/>
    <w:rsid w:val="008D48B8"/>
    <w:rsid w:val="00904644"/>
    <w:rsid w:val="00905197"/>
    <w:rsid w:val="00915108"/>
    <w:rsid w:val="00927936"/>
    <w:rsid w:val="009314E4"/>
    <w:rsid w:val="00943804"/>
    <w:rsid w:val="009534A9"/>
    <w:rsid w:val="009860C2"/>
    <w:rsid w:val="009A41B8"/>
    <w:rsid w:val="009A659B"/>
    <w:rsid w:val="009B6F85"/>
    <w:rsid w:val="009C3559"/>
    <w:rsid w:val="009C7F37"/>
    <w:rsid w:val="009D2106"/>
    <w:rsid w:val="009E497A"/>
    <w:rsid w:val="00A01BF6"/>
    <w:rsid w:val="00A0435C"/>
    <w:rsid w:val="00A15531"/>
    <w:rsid w:val="00A21871"/>
    <w:rsid w:val="00A25CD1"/>
    <w:rsid w:val="00A62517"/>
    <w:rsid w:val="00A6605A"/>
    <w:rsid w:val="00A663F2"/>
    <w:rsid w:val="00A67EE5"/>
    <w:rsid w:val="00A77815"/>
    <w:rsid w:val="00A9202C"/>
    <w:rsid w:val="00AA362C"/>
    <w:rsid w:val="00AB0689"/>
    <w:rsid w:val="00AC08E4"/>
    <w:rsid w:val="00AC35F6"/>
    <w:rsid w:val="00AC46C1"/>
    <w:rsid w:val="00AC65BC"/>
    <w:rsid w:val="00AE37C8"/>
    <w:rsid w:val="00AF29AA"/>
    <w:rsid w:val="00B24DEA"/>
    <w:rsid w:val="00B26252"/>
    <w:rsid w:val="00B26456"/>
    <w:rsid w:val="00B37E31"/>
    <w:rsid w:val="00B6035C"/>
    <w:rsid w:val="00B73649"/>
    <w:rsid w:val="00B809DA"/>
    <w:rsid w:val="00B875CE"/>
    <w:rsid w:val="00BB288B"/>
    <w:rsid w:val="00BE323B"/>
    <w:rsid w:val="00BF6E25"/>
    <w:rsid w:val="00C1230E"/>
    <w:rsid w:val="00C2131F"/>
    <w:rsid w:val="00C54F8F"/>
    <w:rsid w:val="00C749F6"/>
    <w:rsid w:val="00C85D80"/>
    <w:rsid w:val="00CA0B1A"/>
    <w:rsid w:val="00CA2CD1"/>
    <w:rsid w:val="00CB3691"/>
    <w:rsid w:val="00CC78A4"/>
    <w:rsid w:val="00CE0537"/>
    <w:rsid w:val="00CE74E4"/>
    <w:rsid w:val="00D01574"/>
    <w:rsid w:val="00D04384"/>
    <w:rsid w:val="00D1132A"/>
    <w:rsid w:val="00D15C78"/>
    <w:rsid w:val="00D20A8E"/>
    <w:rsid w:val="00D24918"/>
    <w:rsid w:val="00D3298C"/>
    <w:rsid w:val="00D33F41"/>
    <w:rsid w:val="00D371E2"/>
    <w:rsid w:val="00D5520A"/>
    <w:rsid w:val="00D626BC"/>
    <w:rsid w:val="00D72F09"/>
    <w:rsid w:val="00D936D6"/>
    <w:rsid w:val="00DA00E0"/>
    <w:rsid w:val="00DA5553"/>
    <w:rsid w:val="00DA6424"/>
    <w:rsid w:val="00DB5F70"/>
    <w:rsid w:val="00DB5FE3"/>
    <w:rsid w:val="00DC1D8C"/>
    <w:rsid w:val="00DF7385"/>
    <w:rsid w:val="00E03B3E"/>
    <w:rsid w:val="00E15FF0"/>
    <w:rsid w:val="00E3180D"/>
    <w:rsid w:val="00E45794"/>
    <w:rsid w:val="00E74AF9"/>
    <w:rsid w:val="00EB1593"/>
    <w:rsid w:val="00EB6D3C"/>
    <w:rsid w:val="00EC285F"/>
    <w:rsid w:val="00EC7065"/>
    <w:rsid w:val="00EE1783"/>
    <w:rsid w:val="00EE1D47"/>
    <w:rsid w:val="00EE528E"/>
    <w:rsid w:val="00F20A44"/>
    <w:rsid w:val="00F219B6"/>
    <w:rsid w:val="00F43010"/>
    <w:rsid w:val="00F4512C"/>
    <w:rsid w:val="00F52349"/>
    <w:rsid w:val="00F5269C"/>
    <w:rsid w:val="00F534FD"/>
    <w:rsid w:val="00F60119"/>
    <w:rsid w:val="00F9254F"/>
    <w:rsid w:val="00FA4AE5"/>
    <w:rsid w:val="00FB6A63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D7CA8"/>
  <w14:defaultImageDpi w14:val="32767"/>
  <w15:docId w15:val="{3C1BBC6D-98F4-4EA7-BEF0-E41EF8B1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1367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Maria Terezinha da Mota Batista</cp:lastModifiedBy>
  <cp:revision>2</cp:revision>
  <dcterms:created xsi:type="dcterms:W3CDTF">2021-07-22T13:04:00Z</dcterms:created>
  <dcterms:modified xsi:type="dcterms:W3CDTF">2021-07-22T13:04:00Z</dcterms:modified>
</cp:coreProperties>
</file>